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绥滨县人民政府办公室</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1、负责县政府会议的会务工作，协助县政府领导同志组织实施会议决定事项；负责县政府领导同志重要活动的组织工作。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2、协助县政府领导同志组织起草或审核以县政府、县政府办公室名义发布的公文。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3、研究县政府各部门和各乡（镇）政府请示县政府的事项并提出审核处理意见，报县政府领导同志审批。根据县政府领导同志的指示，对需要研究落实事项进行协调并提出处理意见，报县政府领导同志决定。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督促检查县政府各部门、各乡镇政府对市委、市政府、县委、县政府文件、会议决定事项及领导的指示、批示执行落实情况并跟踪调研，及时向县政府领导报告；负责办理县政府工作范围内的人大代表、政协委员的建议和提案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5、负责县政府机关大院内的安全保卫、值班值宿、水暖电照、房屋维修、大院建设等机关事务工作及维护正常工作秩序。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6、负责为县政府领导同志提供决策参考信息；指导、监督全县政务公开工作；负责县政府新闻发言人的相关工作。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7、负责全县政府系统办公自动化的建设、管理和指导工作；负责县政府网上政务服务平台建设和县级行政审批事项的管理及监督工作。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8、负责起草《县政府工作报告》和政府全体会议讲话；根据县政府领导同志的指示，单独或组织、协同有关部门起草、修改县政府有关重要文件；起草县政府主要领导同志的重要讲话、文章。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9、对全县改革开放和经济与社会事业发展的重大问题和县委、县政府主要领导关注的重点工作，包括重大突发性事件等，进行调查研究，提出政策性建议。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10、负责县政府应急管理、政府法制、民族宗教、依法行政、政务公开的日常工作。负责县打击和处置非法集资领导小组办公室、县打击走私领导小组日常工作。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11、承办县政府及县政府领导同志交办的其它事项。</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40</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29个</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28</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30</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11</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1468.61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1460.36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217.44</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14.80</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277.79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19.02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1468.61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1468.34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99.98</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0.26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0.02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1460.36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1304.02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89.29</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156.34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10.71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1468.34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217.58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14.81</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1460.10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277.92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19.03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1460.10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99.98</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277.92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19.03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1460.10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Fonts w:hint="eastAsia" w:asciiTheme="minorEastAsia" w:hAnsiTheme="minorEastAsia" w:cstheme="minorEastAsia"/>
          <w:i w:val="0"/>
          <w:caps w:val="0"/>
          <w:color w:val="373737"/>
          <w:spacing w:val="0"/>
          <w:sz w:val="28"/>
          <w:szCs w:val="28"/>
          <w:shd w:val="clear" w:fill="FFFFFF"/>
          <w:vertAlign w:val="baseline"/>
          <w:lang w:eastAsia="zh-CN"/>
        </w:rPr>
        <w:t>一般公共服务支出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1143.20</w:t>
      </w:r>
      <w:r>
        <w:rPr>
          <w:rFonts w:hint="eastAsia" w:asciiTheme="minorEastAsia" w:hAnsiTheme="minorEastAsia" w:cstheme="minorEastAsia"/>
          <w:i w:val="0"/>
          <w:caps w:val="0"/>
          <w:color w:val="373737"/>
          <w:spacing w:val="0"/>
          <w:sz w:val="28"/>
          <w:szCs w:val="28"/>
          <w:shd w:val="clear" w:fill="FFFFFF"/>
          <w:vertAlign w:val="baseline"/>
          <w:lang w:val="en-US" w:eastAsia="zh-CN"/>
        </w:rPr>
        <w:tab/>
      </w:r>
      <w:r>
        <w:rPr>
          <w:rFonts w:hint="eastAsia" w:asciiTheme="minorEastAsia" w:hAnsiTheme="minorEastAsia" w:cstheme="minorEastAsia"/>
          <w:i w:val="0"/>
          <w:caps w:val="0"/>
          <w:color w:val="373737"/>
          <w:spacing w:val="0"/>
          <w:sz w:val="28"/>
          <w:szCs w:val="28"/>
          <w:shd w:val="clear" w:fill="FFFFFF"/>
          <w:vertAlign w:val="baseline"/>
          <w:lang w:val="en-US" w:eastAsia="zh-CN"/>
        </w:rPr>
        <w:t>万元，占78.30%；教育支出103.90万元，7.12占%；</w:t>
      </w:r>
      <w:r>
        <w:rPr>
          <w:rFonts w:hint="eastAsia" w:asciiTheme="minorEastAsia" w:hAnsiTheme="minorEastAsia" w:cstheme="minorEastAsia"/>
          <w:i w:val="0"/>
          <w:caps w:val="0"/>
          <w:color w:val="373737"/>
          <w:spacing w:val="0"/>
          <w:sz w:val="28"/>
          <w:szCs w:val="28"/>
          <w:shd w:val="clear" w:fill="FFFFFF"/>
          <w:vertAlign w:val="baseline"/>
          <w:lang w:eastAsia="zh-CN"/>
        </w:rPr>
        <w:t>社会保障和就业（类）支出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179.62</w:t>
      </w:r>
      <w:r>
        <w:rPr>
          <w:rFonts w:hint="eastAsia" w:asciiTheme="minorEastAsia" w:hAnsiTheme="minorEastAsia" w:cstheme="minorEastAsia"/>
          <w:i w:val="0"/>
          <w:caps w:val="0"/>
          <w:color w:val="373737"/>
          <w:spacing w:val="0"/>
          <w:sz w:val="28"/>
          <w:szCs w:val="28"/>
          <w:shd w:val="clear" w:fill="FFFFFF"/>
          <w:vertAlign w:val="baseline"/>
          <w:lang w:eastAsia="zh-CN"/>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12.30</w:t>
      </w:r>
      <w:r>
        <w:rPr>
          <w:rFonts w:hint="eastAsia" w:asciiTheme="minorEastAsia" w:hAnsiTheme="minorEastAsia" w:cstheme="minorEastAsia"/>
          <w:i w:val="0"/>
          <w:caps w:val="0"/>
          <w:color w:val="373737"/>
          <w:spacing w:val="0"/>
          <w:sz w:val="28"/>
          <w:szCs w:val="28"/>
          <w:shd w:val="clear" w:fill="FFFFFF"/>
          <w:vertAlign w:val="baseline"/>
          <w:lang w:eastAsia="zh-CN"/>
        </w:rPr>
        <w:t>%；农林水（类）支出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9.95</w:t>
      </w:r>
      <w:r>
        <w:rPr>
          <w:rFonts w:hint="eastAsia" w:asciiTheme="minorEastAsia" w:hAnsiTheme="minorEastAsia" w:cstheme="minorEastAsia"/>
          <w:i w:val="0"/>
          <w:caps w:val="0"/>
          <w:color w:val="373737"/>
          <w:spacing w:val="0"/>
          <w:sz w:val="28"/>
          <w:szCs w:val="28"/>
          <w:shd w:val="clear" w:fill="FFFFFF"/>
          <w:vertAlign w:val="baseline"/>
          <w:lang w:eastAsia="zh-CN"/>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0.68</w:t>
      </w:r>
      <w:r>
        <w:rPr>
          <w:rFonts w:hint="eastAsia" w:asciiTheme="minorEastAsia" w:hAnsiTheme="minorEastAsia" w:cstheme="minorEastAsia"/>
          <w:i w:val="0"/>
          <w:caps w:val="0"/>
          <w:color w:val="373737"/>
          <w:spacing w:val="0"/>
          <w:sz w:val="28"/>
          <w:szCs w:val="28"/>
          <w:shd w:val="clear" w:fill="FFFFFF"/>
          <w:vertAlign w:val="baseline"/>
          <w:lang w:eastAsia="zh-CN"/>
        </w:rPr>
        <w:t>%；住房保障（类）支出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23.43</w:t>
      </w:r>
      <w:r>
        <w:rPr>
          <w:rFonts w:hint="eastAsia" w:asciiTheme="minorEastAsia" w:hAnsiTheme="minorEastAsia" w:cstheme="minorEastAsia"/>
          <w:i w:val="0"/>
          <w:caps w:val="0"/>
          <w:color w:val="373737"/>
          <w:spacing w:val="0"/>
          <w:sz w:val="28"/>
          <w:szCs w:val="28"/>
          <w:shd w:val="clear" w:fill="FFFFFF"/>
          <w:vertAlign w:val="baseline"/>
          <w:lang w:eastAsia="zh-CN"/>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1.60</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685.92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1460.10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212.86</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w:t>
      </w:r>
      <w:r>
        <w:rPr>
          <w:rFonts w:hint="eastAsia" w:asciiTheme="minorEastAsia" w:hAnsiTheme="minorEastAsia" w:cstheme="minorEastAsia"/>
          <w:i w:val="0"/>
          <w:caps w:val="0"/>
          <w:color w:val="373737"/>
          <w:spacing w:val="0"/>
          <w:sz w:val="28"/>
          <w:szCs w:val="28"/>
          <w:shd w:val="clear" w:fill="FFFFFF"/>
          <w:vertAlign w:val="baseline"/>
          <w:lang w:val="en-US" w:eastAsia="zh-CN"/>
        </w:rPr>
        <w:t>为184.84万元</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179.62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97.17</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四</w:t>
      </w:r>
      <w:r>
        <w:rPr>
          <w:rFonts w:hint="eastAsia" w:asciiTheme="minorEastAsia" w:hAnsiTheme="minorEastAsia" w:cstheme="minorEastAsia"/>
          <w:i w:val="0"/>
          <w:caps w:val="0"/>
          <w:color w:val="373737"/>
          <w:spacing w:val="0"/>
          <w:sz w:val="28"/>
          <w:szCs w:val="28"/>
          <w:shd w:val="clear" w:fill="FFFFFF"/>
          <w:vertAlign w:val="baseline"/>
          <w:lang w:val="en-US" w:eastAsia="zh-CN"/>
        </w:rPr>
        <w:t>个单位分开核算</w:t>
      </w:r>
      <w:r>
        <w:rPr>
          <w:rFonts w:hint="eastAsia" w:asciiTheme="minorEastAsia" w:hAnsiTheme="minorEastAsia" w:eastAsiaTheme="minorEastAsia" w:cstheme="minorEastAsia"/>
          <w:i w:val="0"/>
          <w:caps w:val="0"/>
          <w:color w:val="373737"/>
          <w:spacing w:val="0"/>
          <w:sz w:val="28"/>
          <w:szCs w:val="28"/>
          <w:shd w:val="clear" w:fill="FFFFFF"/>
          <w:vertAlign w:val="baseline"/>
        </w:rPr>
        <w:t>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w:t>
      </w:r>
      <w:r>
        <w:rPr>
          <w:rFonts w:hint="eastAsia" w:asciiTheme="minorEastAsia" w:hAnsiTheme="minorEastAsia" w:cstheme="minorEastAsia"/>
          <w:i w:val="0"/>
          <w:caps w:val="0"/>
          <w:color w:val="373737"/>
          <w:spacing w:val="0"/>
          <w:sz w:val="28"/>
          <w:szCs w:val="28"/>
          <w:shd w:val="clear" w:fill="FFFFFF"/>
          <w:vertAlign w:val="baseline"/>
          <w:lang w:val="en-US" w:eastAsia="zh-CN"/>
        </w:rPr>
        <w:t>教育支出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103.90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%。决算数大于预算数的主要原因行政管理事务等资金。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9.95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30.85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23.43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75.94</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年在职职工工资</w:t>
      </w:r>
      <w:r>
        <w:rPr>
          <w:rFonts w:hint="eastAsia" w:asciiTheme="minorEastAsia" w:hAnsiTheme="minorEastAsia" w:cstheme="minorEastAsia"/>
          <w:i w:val="0"/>
          <w:caps w:val="0"/>
          <w:color w:val="373737"/>
          <w:spacing w:val="0"/>
          <w:sz w:val="28"/>
          <w:szCs w:val="28"/>
          <w:shd w:val="clear" w:fill="FFFFFF"/>
          <w:vertAlign w:val="baseline"/>
          <w:lang w:eastAsia="zh-CN"/>
        </w:rPr>
        <w:t>从</w:t>
      </w:r>
      <w:r>
        <w:rPr>
          <w:rFonts w:hint="eastAsia" w:asciiTheme="minorEastAsia" w:hAnsiTheme="minorEastAsia" w:cstheme="minorEastAsia"/>
          <w:i w:val="0"/>
          <w:caps w:val="0"/>
          <w:color w:val="373737"/>
          <w:spacing w:val="0"/>
          <w:sz w:val="28"/>
          <w:szCs w:val="28"/>
          <w:shd w:val="clear" w:fill="FFFFFF"/>
          <w:vertAlign w:val="baseline"/>
          <w:lang w:val="en-US" w:eastAsia="zh-CN"/>
        </w:rPr>
        <w:t>2018年4月四个单位分开核算了</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，使住房公积金的缴交比例</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5</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 </w:t>
      </w:r>
      <w:r>
        <w:rPr>
          <w:rFonts w:hint="eastAsia" w:asciiTheme="minorEastAsia" w:hAnsiTheme="minorEastAsia" w:cstheme="minorEastAsia"/>
          <w:i w:val="0"/>
          <w:caps w:val="0"/>
          <w:color w:val="373737"/>
          <w:spacing w:val="0"/>
          <w:sz w:val="28"/>
          <w:szCs w:val="28"/>
          <w:shd w:val="clear" w:fill="FFFFFF"/>
          <w:vertAlign w:val="baseline"/>
          <w:lang w:eastAsia="zh-CN"/>
        </w:rPr>
        <w:t>一般公共服务支出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470.23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1143.20万元，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243.11</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1460.10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651.05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万元，主要包括：基本工资、津贴补贴、奖金、其他社会保障缴费、其他工资福利支出、离休费、退休费、医疗费、奖励金、住房公积金、提租补贴、采暖补贴、其他对个人和家庭的补助支出；公用经费</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809.05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万元，主要包括：办公费、印刷费、水费、电费、邮电费、取暖费、物业费、差旅费、维修（护）费、劳务费、</w:t>
      </w:r>
      <w:r>
        <w:rPr>
          <w:rFonts w:hint="eastAsia" w:asciiTheme="minorEastAsia" w:hAnsiTheme="minorEastAsia" w:cstheme="minorEastAsia"/>
          <w:i w:val="0"/>
          <w:caps w:val="0"/>
          <w:color w:val="373737"/>
          <w:spacing w:val="0"/>
          <w:sz w:val="28"/>
          <w:szCs w:val="28"/>
          <w:shd w:val="clear" w:fill="FFFFFF"/>
          <w:vertAlign w:val="baseline"/>
          <w:lang w:eastAsia="zh-CN"/>
        </w:rPr>
        <w:t>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福利费、公务用车运行维护费</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其办公设备购置。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36.98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36.98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w:t>
      </w:r>
      <w:r>
        <w:rPr>
          <w:rFonts w:hint="eastAsia" w:asciiTheme="minorEastAsia" w:hAnsiTheme="minorEastAsia" w:cstheme="minorEastAsia"/>
          <w:i w:val="0"/>
          <w:caps w:val="0"/>
          <w:color w:val="373737"/>
          <w:spacing w:val="0"/>
          <w:sz w:val="28"/>
          <w:szCs w:val="28"/>
          <w:shd w:val="clear" w:fill="FFFFFF"/>
          <w:vertAlign w:val="baseline"/>
          <w:lang w:val="en-US" w:eastAsia="zh-CN"/>
        </w:rPr>
        <w:t>决算为0万元，完成预算的0%；公务用车购置及运行费支出决算为36.77万元，完成预算的99.43%；公务接待费支出决算为0.21万元，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0.57</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w:t>
      </w:r>
      <w:r>
        <w:rPr>
          <w:rFonts w:hint="eastAsia" w:asciiTheme="minorEastAsia" w:hAnsiTheme="minorEastAsia" w:cstheme="minorEastAsia"/>
          <w:i w:val="0"/>
          <w:caps w:val="0"/>
          <w:color w:val="373737"/>
          <w:spacing w:val="0"/>
          <w:sz w:val="28"/>
          <w:szCs w:val="28"/>
          <w:shd w:val="clear" w:fill="FFFFFF"/>
          <w:vertAlign w:val="baseline"/>
          <w:lang w:eastAsia="zh-CN"/>
        </w:rPr>
        <w:t>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16.32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78.99</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36.77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cstheme="minorEastAsia"/>
          <w:i w:val="0"/>
          <w:caps w:val="0"/>
          <w:color w:val="373737"/>
          <w:spacing w:val="0"/>
          <w:sz w:val="28"/>
          <w:szCs w:val="28"/>
          <w:shd w:val="clear" w:fill="FFFFFF"/>
          <w:vertAlign w:val="baseline"/>
          <w:lang w:val="en-US" w:eastAsia="zh-CN"/>
        </w:rPr>
        <w:t>81.31</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44.73</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36.77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99.43</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0.57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w:t>
      </w:r>
      <w:r>
        <w:rPr>
          <w:rFonts w:hint="eastAsia" w:asciiTheme="minorEastAsia" w:hAnsiTheme="minorEastAsia" w:cstheme="minorEastAsia"/>
          <w:i w:val="0"/>
          <w:caps w:val="0"/>
          <w:color w:val="373737"/>
          <w:spacing w:val="0"/>
          <w:sz w:val="28"/>
          <w:szCs w:val="28"/>
          <w:shd w:val="clear" w:fill="FFFFFF"/>
          <w:vertAlign w:val="baseline"/>
          <w:lang w:val="en-US" w:eastAsia="zh-CN"/>
        </w:rPr>
        <w:t>公务用车购置及运行费支出36.77万元。其中：公务用车购置支出为17.98万元。公务用车运行支出18.79万元。公务用车保有量5台。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w:t>
      </w:r>
      <w:bookmarkStart w:id="0" w:name="_GoBack"/>
      <w:r>
        <w:rPr>
          <w:rFonts w:hint="eastAsia" w:asciiTheme="minorEastAsia" w:hAnsiTheme="minorEastAsia" w:cstheme="minorEastAsia"/>
          <w:i w:val="0"/>
          <w:caps w:val="0"/>
          <w:color w:val="373737"/>
          <w:spacing w:val="0"/>
          <w:sz w:val="28"/>
          <w:szCs w:val="28"/>
          <w:shd w:val="clear" w:fill="FFFFFF"/>
          <w:vertAlign w:val="baseline"/>
          <w:lang w:val="en-US" w:eastAsia="zh-CN"/>
        </w:rPr>
        <w:t>公务接待费支出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0.21万元。其中：国内公务接待0.21万元，国内公务接待批次10个，国内公务接待人次</w:t>
      </w:r>
      <w:r>
        <w:rPr>
          <w:rFonts w:hint="eastAsia" w:asciiTheme="minorEastAsia" w:hAnsiTheme="minorEastAsia" w:cstheme="minorEastAsia"/>
          <w:i w:val="0"/>
          <w:caps w:val="0"/>
          <w:color w:val="373737"/>
          <w:spacing w:val="0"/>
          <w:sz w:val="28"/>
          <w:szCs w:val="28"/>
          <w:shd w:val="clear" w:fill="FFFFFF"/>
          <w:vertAlign w:val="baseline"/>
          <w:lang w:val="en-US" w:eastAsia="zh-CN"/>
        </w:rPr>
        <w:t>44人；国（境）外公务接待0万元，国（境）外公务接待批次0个，国（境）外公务接待人次0人。</w:t>
      </w:r>
    </w:p>
    <w:bookmarkEnd w:id="0"/>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1460.36</w:t>
      </w:r>
      <w:r>
        <w:rPr>
          <w:rFonts w:hint="eastAsia" w:asciiTheme="minorEastAsia" w:hAnsiTheme="minorEastAsia" w:eastAsiaTheme="minorEastAsia" w:cstheme="minorEastAsia"/>
          <w:color w:val="333333"/>
          <w:sz w:val="28"/>
          <w:szCs w:val="28"/>
        </w:rPr>
        <w:t>万元，比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277.79</w:t>
      </w:r>
      <w:r>
        <w:rPr>
          <w:rFonts w:hint="eastAsia" w:asciiTheme="minorEastAsia" w:hAnsiTheme="minorEastAsia" w:eastAsiaTheme="minorEastAsia" w:cstheme="minorEastAsia"/>
          <w:color w:val="333333"/>
          <w:sz w:val="28"/>
          <w:szCs w:val="28"/>
        </w:rPr>
        <w:t xml:space="preserve"> 万元，降低</w:t>
      </w:r>
      <w:r>
        <w:rPr>
          <w:rFonts w:hint="eastAsia" w:asciiTheme="minorEastAsia" w:hAnsiTheme="minorEastAsia" w:cstheme="minorEastAsia"/>
          <w:color w:val="333333"/>
          <w:sz w:val="28"/>
          <w:szCs w:val="28"/>
          <w:lang w:val="en-US" w:eastAsia="zh-CN"/>
        </w:rPr>
        <w:t>15.98</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减少各项支出，</w:t>
      </w:r>
      <w:r>
        <w:rPr>
          <w:rFonts w:hint="eastAsia" w:asciiTheme="minorEastAsia" w:hAnsiTheme="minorEastAsia" w:cstheme="minorEastAsia"/>
          <w:color w:val="333333"/>
          <w:sz w:val="28"/>
          <w:szCs w:val="28"/>
          <w:lang w:val="en-US" w:eastAsia="zh-CN"/>
        </w:rPr>
        <w:t>2018年4月四个核算单位分开核算。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 xml:space="preserve">辆，其中，一般公务用车 </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 xml:space="preserve"> 辆、一般执法执勤用</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156.34</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val="en-US" w:eastAsia="zh-CN"/>
        </w:rPr>
        <w:t>日常支出</w:t>
      </w:r>
      <w:r>
        <w:rPr>
          <w:rFonts w:hint="eastAsia" w:asciiTheme="minorEastAsia" w:hAnsiTheme="minorEastAsia" w:eastAsiaTheme="minorEastAsia" w:cstheme="minorEastAsia"/>
          <w:color w:val="333333"/>
          <w:sz w:val="28"/>
          <w:szCs w:val="28"/>
        </w:rPr>
        <w:t xml:space="preserve">”等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rPr>
        <w:t xml:space="preserve"> 个项目进行了绩效评价，共涉及资金</w:t>
      </w:r>
      <w:r>
        <w:rPr>
          <w:rFonts w:hint="eastAsia" w:asciiTheme="minorEastAsia" w:hAnsiTheme="minorEastAsia" w:cstheme="minorEastAsia"/>
          <w:color w:val="333333"/>
          <w:sz w:val="28"/>
          <w:szCs w:val="28"/>
          <w:lang w:val="en-US" w:eastAsia="zh-CN"/>
        </w:rPr>
        <w:t>156.34</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cstheme="minorEastAsia"/>
          <w:color w:val="333333"/>
          <w:sz w:val="28"/>
          <w:szCs w:val="28"/>
          <w:lang w:val="en-US" w:eastAsia="zh-CN"/>
        </w:rPr>
        <w:t>日常支出</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E980DC7"/>
    <w:rsid w:val="179B676B"/>
    <w:rsid w:val="1CFB22BC"/>
    <w:rsid w:val="1E23635B"/>
    <w:rsid w:val="2A054FEB"/>
    <w:rsid w:val="2DE7389C"/>
    <w:rsid w:val="3DDC6AB6"/>
    <w:rsid w:val="419008B3"/>
    <w:rsid w:val="440F238E"/>
    <w:rsid w:val="47804021"/>
    <w:rsid w:val="4A0B7957"/>
    <w:rsid w:val="4ADE75A7"/>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2019-09-19T00:45:39Z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